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E7A" w:rsidRPr="009763E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СПЕЦИФИКАЦИЈА ЈНОП </w:t>
      </w:r>
      <w:r w:rsidR="009763E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20/2024</w:t>
      </w:r>
    </w:p>
    <w:p w:rsid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>Прило</w:t>
      </w:r>
      <w:r w:rsidRPr="00B45E7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  <w:t>зи</w:t>
      </w:r>
      <w:r w:rsidRPr="00B45E7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: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1 — мерно место Српско народно позориште, Позоришни трг 1, Нови Сад, ЕД број 1410159038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276"/>
        <w:gridCol w:w="1168"/>
        <w:gridCol w:w="1533"/>
        <w:gridCol w:w="20"/>
        <w:gridCol w:w="1581"/>
        <w:gridCol w:w="60"/>
        <w:gridCol w:w="60"/>
        <w:gridCol w:w="60"/>
        <w:gridCol w:w="60"/>
        <w:gridCol w:w="60"/>
      </w:tblGrid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9763EA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9763E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4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9763E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 на основу  потрошње из претходне године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Виша тарифа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Нижа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kWh)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80</w:t>
            </w: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200000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210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87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215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2827000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2195000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632000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45E7A" w:rsidRPr="00B45E7A" w:rsidRDefault="00B45E7A" w:rsidP="00B45E7A">
      <w:pPr>
        <w:suppressAutoHyphens/>
        <w:spacing w:after="0" w:line="100" w:lineRule="atLeast"/>
        <w:ind w:left="720" w:firstLine="720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2 — мерно место Српско народно позориште- радионица, Ђорђа Рајковића бр.5,  Нови Сад, ЕД број 1410022311, једнотарифно бројило</w:t>
      </w:r>
    </w:p>
    <w:p w:rsidR="00B45E7A" w:rsidRPr="00B45E7A" w:rsidRDefault="00B45E7A" w:rsidP="00B45E7A">
      <w:pPr>
        <w:suppressAutoHyphens/>
        <w:autoSpaceDE w:val="0"/>
        <w:spacing w:after="27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RS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134"/>
        <w:gridCol w:w="1168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9763EA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9763E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4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9763E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Latn-RS" w:eastAsia="ar-SA"/>
              </w:rPr>
              <w:t>5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на основу  потрошње из претходне године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 xml:space="preserve">нижа тарифа 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kЈТЈТWh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rPr>
          <w:trHeight w:val="380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2550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lastRenderedPageBreak/>
              <w:t>Март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2150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1200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1950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1600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20800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16600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3 — мерно место Српско народно позориште- самачки хотел, Жарка Васиљевића бр.1/а, Нови Сад, ЕД број 1410405578, категорија широка потрошња ТГ 10/6, двотарифно бројило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2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9763EA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9763E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4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9763E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Latn-RS" w:eastAsia="ar-SA"/>
              </w:rPr>
              <w:t>5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на основу  потрошње из претходне године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нижа  тарифа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900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5</w:t>
            </w: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3300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4000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55200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84</w:t>
            </w: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46800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</w:tr>
    </w:tbl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lastRenderedPageBreak/>
        <w:t>Табела бр. 4— мерно место Српско народно позориште- стан , Таковска бр.2-1, бројило</w:t>
      </w:r>
      <w:r w:rsidRPr="00B45E7A"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val="sr-Cyrl-RS" w:eastAsia="ar-SA"/>
        </w:rPr>
        <w:t xml:space="preserve">, 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Нови Сад, ЕД број 1413686705, категорија широка потрошња, двотарифно</w:t>
      </w: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2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9763EA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9763E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Latn-RS" w:eastAsia="ar-SA"/>
              </w:rPr>
              <w:t>4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9763E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5</w:t>
            </w:r>
            <w:bookmarkStart w:id="0" w:name="_GoBack"/>
            <w:bookmarkEnd w:id="0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на основу  потрошње из претходне године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Зелена  тарифа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Плава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1200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</w:tr>
    </w:tbl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Пројектована потрошња у периоду од годину дана на средњем напону и широкој потрошњи за сва 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четири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објекта је 2,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7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МW.</w:t>
      </w: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Особе за контакт:</w:t>
      </w: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FF"/>
          <w:kern w:val="1"/>
          <w:sz w:val="24"/>
          <w:szCs w:val="24"/>
          <w:u w:val="single"/>
          <w:lang w:val="sr-Cyrl-RS"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Горан Говедарица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 xml:space="preserve">, 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Latn-RS" w:eastAsia="ar-SA"/>
        </w:rPr>
        <w:t>066/623-5556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>, е-</w:t>
      </w:r>
      <w:proofErr w:type="spellStart"/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>маил</w:t>
      </w:r>
      <w:proofErr w:type="spellEnd"/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 xml:space="preserve">: </w:t>
      </w:r>
      <w:r w:rsidRPr="00B45E7A">
        <w:rPr>
          <w:rFonts w:ascii="Times New Roman" w:eastAsia="Arial Unicode MS" w:hAnsi="Times New Roman" w:cs="Times New Roman"/>
          <w:color w:val="0000FF"/>
          <w:kern w:val="1"/>
          <w:sz w:val="24"/>
          <w:szCs w:val="24"/>
          <w:u w:val="single"/>
          <w:lang w:val="sr-Cyrl-RS" w:eastAsia="ar-SA"/>
        </w:rPr>
        <w:t>goran.govedarica@snp.org.rs</w:t>
      </w: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1.  Количина: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Закључење уговора о потпуном снабдевању.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Количина електричне енергије одређиваће се на основу остварене потрошње купца (наручиоца) на месту примопредаје током периода снабдевања.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sz w:val="24"/>
          <w:szCs w:val="24"/>
          <w:lang w:val="ru-RU" w:eastAsia="ar-SA"/>
        </w:rPr>
        <w:t>Оквирни обим динамике испоруке: према распореду из Табеле 1, Табеле 2 ,Табеле 3 и Табеле 4 ( у прилогу у којима су наведене потрошње из претходне године )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bCs/>
          <w:sz w:val="24"/>
          <w:szCs w:val="24"/>
          <w:lang w:val="ru-RU" w:eastAsia="ar-SA"/>
        </w:rPr>
        <w:t>Капацитет испоруке: с</w:t>
      </w:r>
      <w:r w:rsidRPr="00B45E7A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 xml:space="preserve">набдевач је балансно одговоран за место примопредаје купцу (наручиоцу).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lastRenderedPageBreak/>
        <w:t xml:space="preserve">2. Врста продаје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Стална и гарантована.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3. Техничке карактеристике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У складу са документом Правила о раду тржишта (''Сл. гласник РС'' бр. 120/2012), а по Табели бр. 1, 2, 3 и 4.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4. Квалитет добара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Врста и ниво квалитета испоруке електричне енергије у складу са: </w:t>
      </w:r>
    </w:p>
    <w:p w:rsidR="00B45E7A" w:rsidRPr="00B45E7A" w:rsidRDefault="00B45E7A" w:rsidP="00B45E7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Правилима о раду преносног система ЈП електромреже Србије Београд (''Сл. гласник РС'' бр. 79/2014), </w:t>
      </w:r>
    </w:p>
    <w:p w:rsidR="00B45E7A" w:rsidRPr="00B45E7A" w:rsidRDefault="00B45E7A" w:rsidP="00B45E7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Правилима о раду дистрибутивног система и </w:t>
      </w:r>
    </w:p>
    <w:p w:rsidR="00B45E7A" w:rsidRPr="00B45E7A" w:rsidRDefault="00B45E7A" w:rsidP="00B45E7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Уредбе о условима испоруке и снабдевања електричном енергијом (''Сл. гласник РС'' бр. 63/2013)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5. Период испоруке: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Уговор се закључује за период од годину дана од датума потписивања уговора о потпуном снабдевању Наручиоца електричном енергијом (промене снабдевача) – у временском интервалу од 00:00 </w:t>
      </w:r>
      <w:r w:rsidRPr="00B45E7A">
        <w:rPr>
          <w:rFonts w:ascii="Times New Roman" w:eastAsia="Arial" w:hAnsi="Times New Roman" w:cs="Times New Roman"/>
          <w:sz w:val="24"/>
          <w:szCs w:val="24"/>
          <w:lang w:val="en-US" w:eastAsia="ar-SA"/>
        </w:rPr>
        <w:t>h</w:t>
      </w:r>
      <w:r w:rsidRPr="00B45E7A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до 24:00 </w:t>
      </w:r>
      <w:r w:rsidRPr="00B45E7A">
        <w:rPr>
          <w:rFonts w:ascii="Times New Roman" w:eastAsia="Arial" w:hAnsi="Times New Roman" w:cs="Times New Roman"/>
          <w:sz w:val="24"/>
          <w:szCs w:val="24"/>
          <w:lang w:val="en-US" w:eastAsia="ar-SA"/>
        </w:rPr>
        <w:t>h</w:t>
      </w:r>
      <w:r w:rsidRPr="00B45E7A"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  <w:t xml:space="preserve">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6. Место испоруке добара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Место испоруке су мерна места купца прикључена на дистрибутивни систем у категорији потрошње на средњем напону и широке потрошње, свему према Табели 1, Табели 2, Табели 3 и Табели 4 конкурсне документације. </w:t>
      </w: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val="ru-RU" w:eastAsia="ar-SA"/>
        </w:rPr>
      </w:pP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Период испоруке: 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val="ru-RU" w:eastAsia="ar-SA"/>
        </w:rPr>
        <w:t xml:space="preserve"> период од годину дана од датума потписивања уговора о потпуном снабдевању Наручиоца електричном енергијом (промене снабдевача) – у временском интервалу од 00:00 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h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val="ru-RU" w:eastAsia="ar-SA"/>
        </w:rPr>
        <w:t xml:space="preserve"> до 24:00 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h</w:t>
      </w:r>
      <w:r w:rsidRPr="00B45E7A"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val="ru-RU" w:eastAsia="ar-SA"/>
        </w:rPr>
        <w:t xml:space="preserve">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7. Понуђач је дужан да уз понуду достави изјаву на свом меморандуму, потписану од стране одговорног лица понуђача и оверену печатом, којом се обавезује да ће, уколико му буде додељен уговор у предметном поступку јавне набавке, поступити у складу са чланом 141. став 5. Закона о енергетици , односно да ће одмах по потписивању уговора закључити: </w:t>
      </w:r>
    </w:p>
    <w:p w:rsidR="00B45E7A" w:rsidRPr="00B45E7A" w:rsidRDefault="00B45E7A" w:rsidP="00B45E7A">
      <w:pPr>
        <w:suppressAutoHyphens/>
        <w:autoSpaceDE w:val="0"/>
        <w:spacing w:after="27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 xml:space="preserve">1) Уговор о приступу систему са оператором система на који је објекти  крајњег купца прикључени  и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 xml:space="preserve">2) Уговор којим преузима балансну одговорност за места примопредаје крајњег купца. </w:t>
      </w:r>
    </w:p>
    <w:p w:rsidR="005672CA" w:rsidRDefault="005672CA"/>
    <w:sectPr w:rsidR="00567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cs="Symbol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7A"/>
    <w:rsid w:val="001A3A1F"/>
    <w:rsid w:val="00311733"/>
    <w:rsid w:val="005672CA"/>
    <w:rsid w:val="009763EA"/>
    <w:rsid w:val="00B4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10B54-1C59-490D-BC71-CA7BC0EC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1A3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A3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5</cp:revision>
  <cp:lastPrinted>2024-05-13T08:39:00Z</cp:lastPrinted>
  <dcterms:created xsi:type="dcterms:W3CDTF">2021-06-01T10:11:00Z</dcterms:created>
  <dcterms:modified xsi:type="dcterms:W3CDTF">2024-05-13T08:41:00Z</dcterms:modified>
</cp:coreProperties>
</file>